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CF0D" w14:textId="2BE15483" w:rsidR="00AB1E55" w:rsidRPr="00AB1E55" w:rsidRDefault="006E1D9E" w:rsidP="00AB1E55">
      <w:pPr>
        <w:rPr>
          <w:rFonts w:ascii="游ゴシック" w:eastAsia="游ゴシック" w:hAnsi="游ゴシック"/>
          <w:b/>
          <w:bCs/>
          <w:sz w:val="32"/>
          <w:szCs w:val="32"/>
        </w:rPr>
      </w:pPr>
      <w:r>
        <w:rPr>
          <w:rFonts w:ascii="游ゴシック" w:eastAsia="游ゴシック" w:hAnsi="游ゴシック" w:hint="eastAsia"/>
          <w:b/>
          <w:bCs/>
          <w:sz w:val="32"/>
          <w:szCs w:val="32"/>
        </w:rPr>
        <w:t>しあわせ</w:t>
      </w:r>
      <w:r w:rsidR="00AB1E55">
        <w:rPr>
          <w:rFonts w:ascii="游ゴシック" w:eastAsia="游ゴシック" w:hAnsi="游ゴシック" w:hint="eastAsia"/>
          <w:b/>
          <w:bCs/>
          <w:sz w:val="32"/>
          <w:szCs w:val="32"/>
        </w:rPr>
        <w:t xml:space="preserve">　　　　　　　　　　　　　　</w:t>
      </w:r>
      <w:r w:rsidR="006B77F2">
        <w:rPr>
          <w:rFonts w:ascii="游ゴシック" w:eastAsia="游ゴシック" w:hAnsi="游ゴシック" w:hint="eastAsia"/>
          <w:sz w:val="22"/>
        </w:rPr>
        <w:t>さく：</w:t>
      </w:r>
      <w:r w:rsidR="00AB1E55" w:rsidRPr="00AB1E55">
        <w:rPr>
          <w:rFonts w:ascii="游ゴシック" w:eastAsia="游ゴシック" w:hAnsi="游ゴシック" w:hint="eastAsia"/>
          <w:sz w:val="22"/>
        </w:rPr>
        <w:t>しまざきとうそん</w:t>
      </w:r>
    </w:p>
    <w:p w14:paraId="4C690ACD" w14:textId="77777777" w:rsidR="00AB1E55" w:rsidRPr="00AB1E55" w:rsidRDefault="00AB1E55" w:rsidP="00AB1E55">
      <w:pPr>
        <w:rPr>
          <w:rFonts w:ascii="游ゴシック" w:eastAsia="游ゴシック" w:hAnsi="游ゴシック"/>
          <w:sz w:val="22"/>
        </w:rPr>
      </w:pPr>
    </w:p>
    <w:p w14:paraId="74D035A8" w14:textId="07F54F1C"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」がいろいろないえへたずねていきました。</w:t>
      </w:r>
    </w:p>
    <w:p w14:paraId="72A77067" w14:textId="23DD320A"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だれでも</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のほしくないひとはありませんから、どこのいえをたずねましても、みんなおおよろこびでむかえてくれるにちがいありません。けれども、それではひとのこころがよくわかりません。そこで「</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」はまずしいまずしいこじきのような</w:t>
      </w:r>
      <w:r w:rsidR="006E1D9E">
        <w:rPr>
          <w:rFonts w:ascii="游ゴシック" w:eastAsia="游ゴシック" w:hAnsi="游ゴシック" w:hint="eastAsia"/>
          <w:sz w:val="22"/>
        </w:rPr>
        <w:t>なり</w:t>
      </w:r>
      <w:r w:rsidRPr="00AB1E55">
        <w:rPr>
          <w:rFonts w:ascii="游ゴシック" w:eastAsia="游ゴシック" w:hAnsi="游ゴシック" w:hint="eastAsia"/>
          <w:sz w:val="22"/>
        </w:rPr>
        <w:t>をしました。だれかきいたら、じぶんは「</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」だといわずに「びんぼう」だというつもりでした。そんなまずしい</w:t>
      </w:r>
      <w:r w:rsidR="006E1D9E">
        <w:rPr>
          <w:rFonts w:ascii="游ゴシック" w:eastAsia="游ゴシック" w:hAnsi="游ゴシック" w:hint="eastAsia"/>
          <w:sz w:val="22"/>
        </w:rPr>
        <w:t>なり</w:t>
      </w:r>
      <w:r w:rsidRPr="00AB1E55">
        <w:rPr>
          <w:rFonts w:ascii="游ゴシック" w:eastAsia="游ゴシック" w:hAnsi="游ゴシック" w:hint="eastAsia"/>
          <w:sz w:val="22"/>
        </w:rPr>
        <w:t>をしていても、それでもじぶんをよくむかえてくれるひとがありましたら、そのひとのところへ</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をわけておいてくるつもりでした。</w:t>
      </w:r>
    </w:p>
    <w:p w14:paraId="1C9021B9" w14:textId="158848CB"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この「</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」がいろいろないえへたずねていきますと、いぬのかってあるいえがありました。そのいえのまえへいって「</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」がたちました。</w:t>
      </w:r>
    </w:p>
    <w:p w14:paraId="606A64E3" w14:textId="20D5011A"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そこのいえのひとは「</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」がきたとはしりませんから、まずしいまずしいこじきのようなものがいえのまえにいるのをみて、</w:t>
      </w:r>
    </w:p>
    <w:p w14:paraId="6CAD3885"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「おまえさんはだれですか。」</w:t>
      </w:r>
    </w:p>
    <w:p w14:paraId="4C5E4146"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とたずねました。</w:t>
      </w:r>
    </w:p>
    <w:p w14:paraId="56FAF71D"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「わたしは「びんぼう」でございます。」</w:t>
      </w:r>
    </w:p>
    <w:p w14:paraId="74E707D2"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「ああ、「びんぼう」か。「びんぼう」はうちじゃおことわりだ。」</w:t>
      </w:r>
    </w:p>
    <w:p w14:paraId="5E23FFE5"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lastRenderedPageBreak/>
        <w:t xml:space="preserve">　とそこのいえのひとはとをぴしゃんとしめてしまいました。おまけに、そこのいえにかってあるいぬがおそろしいこえでおいたてるようになきました。</w:t>
      </w:r>
    </w:p>
    <w:p w14:paraId="261CD0BB" w14:textId="2FDBE3BC"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」はさっそくごめんをこうむりまして、こんどはにわとりのかってあるいえのまえへいってたちました。</w:t>
      </w:r>
    </w:p>
    <w:p w14:paraId="3A8055EC" w14:textId="54001D14"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そこのいえのひとも「</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」がきたとはしらなかったとみえて、いやなものでもいえのまえにたったようにかおをしかめて、</w:t>
      </w:r>
    </w:p>
    <w:p w14:paraId="686D1D38"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「おまえさんはだれですか。」</w:t>
      </w:r>
    </w:p>
    <w:p w14:paraId="3D06C90E"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とたずねました。</w:t>
      </w:r>
    </w:p>
    <w:p w14:paraId="485C0483"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「わたしは「びんぼう」でございます。」</w:t>
      </w:r>
    </w:p>
    <w:p w14:paraId="0D25FB0C"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「ああ、「びんぼう」か、「びんぼう」はうちじゃたくさんだ。」</w:t>
      </w:r>
    </w:p>
    <w:p w14:paraId="051CAC97"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とそこのいえのひとはふかいためいきをつきました。それからかってあるにわとりにきをつけました。まずしいまずしいこじきのようなものがきてにわとりをぬすんでいきはしないかとおもったのでしょう。</w:t>
      </w:r>
    </w:p>
    <w:p w14:paraId="3815DD4B"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「こっ、こっ、こっ、こっ。」</w:t>
      </w:r>
    </w:p>
    <w:p w14:paraId="39D7682E" w14:textId="7F0253E5"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とそこのいえのにわとりはようじんぶかいこえをだしてなきました。</w:t>
      </w:r>
    </w:p>
    <w:p w14:paraId="17C46FB3" w14:textId="7A318D51"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」はまたそこのいえでもごめんをこうむりまして、こんどはうさぎのかってあるいえのまえへいってたちました。</w:t>
      </w:r>
    </w:p>
    <w:p w14:paraId="65FDE856"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「おまえさんはだれですか。」</w:t>
      </w:r>
    </w:p>
    <w:p w14:paraId="58C721ED"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lastRenderedPageBreak/>
        <w:t>「わたしは「びんぼう」でございます。」</w:t>
      </w:r>
    </w:p>
    <w:p w14:paraId="6A6D7682"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「ああ、「びんぼう」か。」</w:t>
      </w:r>
    </w:p>
    <w:p w14:paraId="04684B45" w14:textId="674B604D"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といいましたが、そこのいえのひとがでてみると、まずしいまずしいこじきのようなものがおもてにたっていました。そこのいえのひとも「</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」がきたとはしらないようでしたが、なさけというものがあるとみえて、だいどころのほうからおむすびをひとつにぎってきて、</w:t>
      </w:r>
    </w:p>
    <w:p w14:paraId="301C5B14"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「さあ、これをおあがり。」</w:t>
      </w:r>
    </w:p>
    <w:p w14:paraId="4ADECCE8"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といってくれました。そこのいえのひとは、きいろい</w:t>
      </w:r>
      <w:r w:rsidRPr="006B77F2">
        <w:rPr>
          <w:rFonts w:ascii="游ゴシック" w:eastAsia="游ゴシック" w:hAnsi="游ゴシック" w:hint="eastAsia"/>
          <w:b/>
          <w:bCs/>
          <w:sz w:val="22"/>
        </w:rPr>
        <w:t>たくあん</w:t>
      </w:r>
      <w:r w:rsidRPr="00AB1E55">
        <w:rPr>
          <w:rFonts w:ascii="游ゴシック" w:eastAsia="游ゴシック" w:hAnsi="游ゴシック" w:hint="eastAsia"/>
          <w:sz w:val="22"/>
        </w:rPr>
        <w:t>の</w:t>
      </w:r>
      <w:r w:rsidRPr="006B77F2">
        <w:rPr>
          <w:rFonts w:ascii="游ゴシック" w:eastAsia="游ゴシック" w:hAnsi="游ゴシック" w:hint="eastAsia"/>
          <w:b/>
          <w:bCs/>
          <w:sz w:val="22"/>
        </w:rPr>
        <w:t>おこうこ</w:t>
      </w:r>
      <w:r w:rsidRPr="00AB1E55">
        <w:rPr>
          <w:rFonts w:ascii="游ゴシック" w:eastAsia="游ゴシック" w:hAnsi="游ゴシック" w:hint="eastAsia"/>
          <w:sz w:val="22"/>
        </w:rPr>
        <w:t>までそのおむすびにそえてくれました。</w:t>
      </w:r>
    </w:p>
    <w:p w14:paraId="6067B46D"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「ぐう、ぐう、ぐう、ぐう。」</w:t>
      </w:r>
    </w:p>
    <w:p w14:paraId="058192C4" w14:textId="77777777" w:rsidR="00AB1E55"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 xml:space="preserve">　とうさぎはたかいいびきをかいて、さもたのしそうにひるねをしていました。</w:t>
      </w:r>
    </w:p>
    <w:p w14:paraId="62642D37" w14:textId="74DD9AEB" w:rsidR="00676508" w:rsidRPr="00AB1E55" w:rsidRDefault="00AB1E55" w:rsidP="00AB1E55">
      <w:pPr>
        <w:rPr>
          <w:rFonts w:ascii="游ゴシック" w:eastAsia="游ゴシック" w:hAnsi="游ゴシック"/>
          <w:sz w:val="22"/>
        </w:rPr>
      </w:pPr>
      <w:r w:rsidRPr="00AB1E55">
        <w:rPr>
          <w:rFonts w:ascii="游ゴシック" w:eastAsia="游ゴシック" w:hAnsi="游ゴシック" w:hint="eastAsia"/>
          <w:sz w:val="22"/>
        </w:rPr>
        <w:t>「</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」にはそこのいえのひとのこころがよくわかりました。おむすびひとつ、たくあんひときれにも、ひとのこころのおくはしれるものです。それをうれしくおもいまして、そのうさぎのかってあるいえへ</w:t>
      </w:r>
      <w:r w:rsidR="006E1D9E">
        <w:rPr>
          <w:rFonts w:ascii="游ゴシック" w:eastAsia="游ゴシック" w:hAnsi="游ゴシック" w:hint="eastAsia"/>
          <w:sz w:val="22"/>
        </w:rPr>
        <w:t>しあわせ</w:t>
      </w:r>
      <w:r w:rsidRPr="00AB1E55">
        <w:rPr>
          <w:rFonts w:ascii="游ゴシック" w:eastAsia="游ゴシック" w:hAnsi="游ゴシック" w:hint="eastAsia"/>
          <w:sz w:val="22"/>
        </w:rPr>
        <w:t>をわけておいてきました。</w:t>
      </w:r>
    </w:p>
    <w:sectPr w:rsidR="00676508" w:rsidRPr="00AB1E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55"/>
    <w:rsid w:val="00080108"/>
    <w:rsid w:val="00676508"/>
    <w:rsid w:val="006B77F2"/>
    <w:rsid w:val="006E1D9E"/>
    <w:rsid w:val="008B6E23"/>
    <w:rsid w:val="00975FEB"/>
    <w:rsid w:val="00AB1E55"/>
    <w:rsid w:val="00F71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6B3D1"/>
  <w15:chartTrackingRefBased/>
  <w15:docId w15:val="{279A3F86-1233-4F45-AB9F-C6BF5AB6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8"/>
    <w:pPr>
      <w:widowControl w:val="0"/>
      <w:jc w:val="both"/>
    </w:pPr>
    <w:rPr>
      <w:rFonts w:ascii="ＭＳ 明朝" w:eastAsia="ＭＳ 明朝" w:hAnsi="ＭＳ 明朝"/>
    </w:rPr>
  </w:style>
  <w:style w:type="paragraph" w:styleId="Heading1">
    <w:name w:val="heading 1"/>
    <w:basedOn w:val="Normal"/>
    <w:next w:val="Normal"/>
    <w:link w:val="Heading1Char"/>
    <w:uiPriority w:val="9"/>
    <w:qFormat/>
    <w:rsid w:val="00AB1E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B1E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B1E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B1E5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B1E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B1E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B1E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B1E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B1E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5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B1E5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B1E55"/>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B1E5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B1E5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B1E5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B1E5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B1E5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B1E5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B1E5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5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B1E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1E55"/>
    <w:rPr>
      <w:rFonts w:ascii="ＭＳ 明朝" w:eastAsia="ＭＳ 明朝" w:hAnsi="ＭＳ 明朝"/>
      <w:i/>
      <w:iCs/>
      <w:color w:val="404040" w:themeColor="text1" w:themeTint="BF"/>
    </w:rPr>
  </w:style>
  <w:style w:type="paragraph" w:styleId="ListParagraph">
    <w:name w:val="List Paragraph"/>
    <w:basedOn w:val="Normal"/>
    <w:uiPriority w:val="34"/>
    <w:qFormat/>
    <w:rsid w:val="00AB1E55"/>
    <w:pPr>
      <w:ind w:left="720"/>
      <w:contextualSpacing/>
    </w:pPr>
  </w:style>
  <w:style w:type="character" w:styleId="IntenseEmphasis">
    <w:name w:val="Intense Emphasis"/>
    <w:basedOn w:val="DefaultParagraphFont"/>
    <w:uiPriority w:val="21"/>
    <w:qFormat/>
    <w:rsid w:val="00AB1E55"/>
    <w:rPr>
      <w:i/>
      <w:iCs/>
      <w:color w:val="2F5496" w:themeColor="accent1" w:themeShade="BF"/>
    </w:rPr>
  </w:style>
  <w:style w:type="paragraph" w:styleId="IntenseQuote">
    <w:name w:val="Intense Quote"/>
    <w:basedOn w:val="Normal"/>
    <w:next w:val="Normal"/>
    <w:link w:val="IntenseQuoteChar"/>
    <w:uiPriority w:val="30"/>
    <w:qFormat/>
    <w:rsid w:val="00AB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E55"/>
    <w:rPr>
      <w:rFonts w:ascii="ＭＳ 明朝" w:eastAsia="ＭＳ 明朝" w:hAnsi="ＭＳ 明朝"/>
      <w:i/>
      <w:iCs/>
      <w:color w:val="2F5496" w:themeColor="accent1" w:themeShade="BF"/>
    </w:rPr>
  </w:style>
  <w:style w:type="character" w:styleId="IntenseReference">
    <w:name w:val="Intense Reference"/>
    <w:basedOn w:val="DefaultParagraphFont"/>
    <w:uiPriority w:val="32"/>
    <w:qFormat/>
    <w:rsid w:val="00AB1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12835">
      <w:bodyDiv w:val="1"/>
      <w:marLeft w:val="0"/>
      <w:marRight w:val="0"/>
      <w:marTop w:val="0"/>
      <w:marBottom w:val="0"/>
      <w:divBdr>
        <w:top w:val="none" w:sz="0" w:space="0" w:color="auto"/>
        <w:left w:val="none" w:sz="0" w:space="0" w:color="auto"/>
        <w:bottom w:val="none" w:sz="0" w:space="0" w:color="auto"/>
        <w:right w:val="none" w:sz="0" w:space="0" w:color="auto"/>
      </w:divBdr>
      <w:divsChild>
        <w:div w:id="1363172083">
          <w:marLeft w:val="0"/>
          <w:marRight w:val="0"/>
          <w:marTop w:val="0"/>
          <w:marBottom w:val="0"/>
          <w:divBdr>
            <w:top w:val="none" w:sz="0" w:space="0" w:color="auto"/>
            <w:left w:val="none" w:sz="0" w:space="0" w:color="auto"/>
            <w:bottom w:val="none" w:sz="0" w:space="0" w:color="auto"/>
            <w:right w:val="none" w:sz="0" w:space="0" w:color="auto"/>
          </w:divBdr>
          <w:divsChild>
            <w:div w:id="638070339">
              <w:marLeft w:val="0"/>
              <w:marRight w:val="0"/>
              <w:marTop w:val="0"/>
              <w:marBottom w:val="0"/>
              <w:divBdr>
                <w:top w:val="none" w:sz="0" w:space="0" w:color="auto"/>
                <w:left w:val="none" w:sz="0" w:space="0" w:color="auto"/>
                <w:bottom w:val="none" w:sz="0" w:space="0" w:color="auto"/>
                <w:right w:val="none" w:sz="0" w:space="0" w:color="auto"/>
              </w:divBdr>
              <w:divsChild>
                <w:div w:id="43913078">
                  <w:marLeft w:val="0"/>
                  <w:marRight w:val="0"/>
                  <w:marTop w:val="0"/>
                  <w:marBottom w:val="0"/>
                  <w:divBdr>
                    <w:top w:val="none" w:sz="0" w:space="0" w:color="auto"/>
                    <w:left w:val="none" w:sz="0" w:space="0" w:color="auto"/>
                    <w:bottom w:val="none" w:sz="0" w:space="0" w:color="auto"/>
                    <w:right w:val="none" w:sz="0" w:space="0" w:color="auto"/>
                  </w:divBdr>
                  <w:divsChild>
                    <w:div w:id="712314190">
                      <w:marLeft w:val="0"/>
                      <w:marRight w:val="0"/>
                      <w:marTop w:val="0"/>
                      <w:marBottom w:val="0"/>
                      <w:divBdr>
                        <w:top w:val="none" w:sz="0" w:space="0" w:color="auto"/>
                        <w:left w:val="none" w:sz="0" w:space="0" w:color="auto"/>
                        <w:bottom w:val="none" w:sz="0" w:space="0" w:color="auto"/>
                        <w:right w:val="none" w:sz="0" w:space="0" w:color="auto"/>
                      </w:divBdr>
                      <w:divsChild>
                        <w:div w:id="1600330638">
                          <w:marLeft w:val="0"/>
                          <w:marRight w:val="0"/>
                          <w:marTop w:val="0"/>
                          <w:marBottom w:val="0"/>
                          <w:divBdr>
                            <w:top w:val="none" w:sz="0" w:space="0" w:color="auto"/>
                            <w:left w:val="none" w:sz="0" w:space="0" w:color="auto"/>
                            <w:bottom w:val="none" w:sz="0" w:space="0" w:color="auto"/>
                            <w:right w:val="none" w:sz="0" w:space="0" w:color="auto"/>
                          </w:divBdr>
                          <w:divsChild>
                            <w:div w:id="2063098342">
                              <w:marLeft w:val="0"/>
                              <w:marRight w:val="0"/>
                              <w:marTop w:val="0"/>
                              <w:marBottom w:val="0"/>
                              <w:divBdr>
                                <w:top w:val="none" w:sz="0" w:space="0" w:color="auto"/>
                                <w:left w:val="none" w:sz="0" w:space="0" w:color="auto"/>
                                <w:bottom w:val="none" w:sz="0" w:space="0" w:color="auto"/>
                                <w:right w:val="none" w:sz="0" w:space="0" w:color="auto"/>
                              </w:divBdr>
                              <w:divsChild>
                                <w:div w:id="10870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204</Words>
  <Characters>1166</Characters>
  <DocSecurity>0</DocSecurity>
  <Lines>9</Lines>
  <Paragraphs>2</Paragraphs>
  <ScaleCrop>false</ScaleCrop>
  <LinksUpToDate>false</LinksUpToDate>
  <CharactersWithSpaces>1368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